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ind w:left="4666" w:hanging="0"/>
        <w:contextualSpacing/>
        <w:jc w:val="center"/>
        <w:rPr/>
      </w:pPr>
      <w:r>
        <w:rPr>
          <w:rStyle w:val="FontStyle177"/>
          <w:sz w:val="28"/>
          <w:szCs w:val="28"/>
        </w:rPr>
        <w:t>Приложение №3</w:t>
        <w:br/>
        <w:t>к постановлению администрации</w:t>
        <w:br/>
        <w:t xml:space="preserve">муниципального образования </w:t>
      </w:r>
    </w:p>
    <w:p>
      <w:pPr>
        <w:pStyle w:val="Style41"/>
        <w:widowControl/>
        <w:tabs>
          <w:tab w:val="clear" w:pos="708"/>
          <w:tab w:val="left" w:pos="7747" w:leader="underscore"/>
          <w:tab w:val="left" w:pos="9130" w:leader="underscore"/>
        </w:tabs>
        <w:spacing w:lineRule="auto" w:line="240" w:before="0" w:after="0"/>
        <w:ind w:left="4666" w:hanging="0"/>
        <w:contextualSpacing/>
        <w:jc w:val="center"/>
        <w:rPr/>
      </w:pPr>
      <w:r>
        <w:rPr>
          <w:rStyle w:val="FontStyle177"/>
          <w:rFonts w:eastAsia="Times New Roman" w:cs="Times New Roman"/>
          <w:sz w:val="28"/>
          <w:szCs w:val="28"/>
          <w:lang w:eastAsia="ru-RU"/>
        </w:rPr>
        <w:t>Кореновский</w:t>
      </w:r>
      <w:r>
        <w:rPr>
          <w:rStyle w:val="FontStyle177"/>
          <w:sz w:val="28"/>
          <w:szCs w:val="28"/>
        </w:rPr>
        <w:t xml:space="preserve"> район </w:t>
        <w:br/>
        <w:t xml:space="preserve">от </w:t>
      </w:r>
      <w:r>
        <w:rPr>
          <w:rStyle w:val="FontStyle177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12.07.2023</w:t>
      </w:r>
      <w:r>
        <w:rPr>
          <w:rStyle w:val="FontStyle177"/>
          <w:sz w:val="28"/>
          <w:szCs w:val="28"/>
        </w:rPr>
        <w:t xml:space="preserve"> № </w:t>
      </w:r>
      <w:bookmarkStart w:id="0" w:name="__UnoMark__1621_425804950"/>
      <w:bookmarkEnd w:id="0"/>
      <w:r>
        <w:rPr>
          <w:rStyle w:val="FontStyle177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1298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ГРАНИЦЫ ПУБЛИЧНОГО СЕРВИТУТА</w:t>
      </w:r>
    </w:p>
    <w:p>
      <w:pPr>
        <w:pStyle w:val="Normal"/>
        <w:jc w:val="center"/>
        <w:rPr>
          <w:b/>
          <w:b/>
          <w:bCs/>
        </w:rPr>
      </w:pPr>
      <w:bookmarkStart w:id="1" w:name="_GoBack"/>
      <w:bookmarkEnd w:id="1"/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в отношении земель и (или) земельных участков используемых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в целях: </w:t>
      </w:r>
      <w:r>
        <w:rPr>
          <w:rFonts w:eastAsia="" w:cs="Times New Roman" w:ascii="Times New Roman" w:hAnsi="Times New Roman"/>
          <w:b/>
          <w:bCs/>
          <w:color w:val="000000"/>
          <w:spacing w:val="-2"/>
          <w:kern w:val="0"/>
          <w:sz w:val="26"/>
          <w:szCs w:val="26"/>
          <w:shd w:fill="auto" w:val="clear"/>
          <w:lang w:val="ru-RU" w:eastAsia="ru-RU" w:bidi="ar-SA"/>
        </w:rPr>
        <w:t>складирования строительных и иных материалов, размещения временных или вспомогательных сооружений и строительной техники, которые необходимы для обеспечения строительства магистрального нефтепровода федерального значения «МН «Тихорецк-Новороссийск-4» DN800/DN700. Подключение к МН «Тихорецк-Новороссийск-3» на участке ЛПДС «Крымская» - ПП «Грушовая». КРУМН. Строительство».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Раздел 1</w:t>
      </w:r>
    </w:p>
    <w:tbl>
      <w:tblPr>
        <w:tblW w:w="96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5"/>
        <w:gridCol w:w="4680"/>
        <w:gridCol w:w="4320"/>
      </w:tblGrid>
      <w:tr>
        <w:trPr>
          <w:trHeight w:val="403" w:hRule="exact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Сведения об объекте</w:t>
            </w:r>
          </w:p>
        </w:tc>
      </w:tr>
      <w:tr>
        <w:trPr>
          <w:trHeight w:val="452" w:hRule="exact"/>
        </w:trPr>
        <w:tc>
          <w:tcPr>
            <w:tcW w:w="9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ind w:left="180" w:hanging="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 xml:space="preserve">№ </w:t>
            </w:r>
            <w:r>
              <w:rPr>
                <w:rStyle w:val="2"/>
                <w:rFonts w:eastAsia="" w:eastAsiaTheme="minorEastAsia"/>
                <w:sz w:val="22"/>
                <w:szCs w:val="22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Характеристики объекта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Описание характеристик</w:t>
            </w:r>
          </w:p>
        </w:tc>
      </w:tr>
      <w:tr>
        <w:trPr>
          <w:trHeight w:val="265" w:hRule="exac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sz w:val="22"/>
              </w:rPr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3</w:t>
            </w:r>
          </w:p>
        </w:tc>
      </w:tr>
      <w:tr>
        <w:trPr>
          <w:trHeight w:val="920" w:hRule="exac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jc w:val="left"/>
              <w:rPr/>
            </w:pPr>
            <w:r>
              <w:rPr>
                <w:rStyle w:val="2"/>
                <w:rFonts w:eastAsia="" w:eastAsiaTheme="minorEastAsia"/>
                <w:kern w:val="0"/>
                <w:sz w:val="24"/>
                <w:szCs w:val="22"/>
              </w:rPr>
              <w:t>Местоположение объекта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tLeast" w:line="270"/>
              <w:ind w:left="0" w:right="0" w:hanging="0"/>
              <w:jc w:val="left"/>
              <w:rPr>
                <w:sz w:val="24"/>
              </w:rPr>
            </w:pPr>
            <w:r>
              <w:rPr>
                <w:rStyle w:val="2"/>
                <w:rFonts w:eastAsia="" w:eastAsiaTheme="minorEastAsia"/>
                <w:sz w:val="20"/>
                <w:szCs w:val="22"/>
              </w:rPr>
              <w:t>Краснодарский</w:t>
            </w:r>
            <w:r>
              <w:rPr>
                <w:rStyle w:val="2"/>
                <w:rFonts w:eastAsia="" w:eastAsiaTheme="minorEastAsia"/>
                <w:spacing w:val="-7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край,</w:t>
            </w:r>
            <w:r>
              <w:rPr>
                <w:rStyle w:val="2"/>
                <w:rFonts w:eastAsia="" w:eastAsiaTheme="minorEastAsia"/>
                <w:spacing w:val="-6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Кореновский</w:t>
            </w:r>
            <w:r>
              <w:rPr>
                <w:rStyle w:val="2"/>
                <w:rFonts w:eastAsia="" w:eastAsiaTheme="minorEastAsia"/>
                <w:spacing w:val="-7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р-н,</w:t>
            </w:r>
            <w:r>
              <w:rPr>
                <w:rStyle w:val="2"/>
                <w:rFonts w:eastAsia="" w:eastAsiaTheme="minorEastAsia"/>
                <w:spacing w:val="-6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Платнировское</w:t>
            </w:r>
            <w:r>
              <w:rPr>
                <w:rStyle w:val="2"/>
                <w:rFonts w:eastAsia="" w:eastAsiaTheme="minorEastAsia"/>
                <w:spacing w:val="-57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сельское</w:t>
            </w:r>
            <w:r>
              <w:rPr>
                <w:rStyle w:val="2"/>
                <w:rFonts w:eastAsia="" w:eastAsiaTheme="minorEastAsia"/>
                <w:spacing w:val="-5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поселение,</w:t>
            </w:r>
            <w:r>
              <w:rPr>
                <w:rStyle w:val="2"/>
                <w:rFonts w:eastAsia="" w:eastAsiaTheme="minorEastAsia"/>
                <w:spacing w:val="-4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Сергиевское</w:t>
            </w:r>
            <w:r>
              <w:rPr>
                <w:rStyle w:val="2"/>
                <w:rFonts w:eastAsia="" w:eastAsiaTheme="minorEastAsia"/>
                <w:spacing w:val="-3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сельское</w:t>
            </w:r>
            <w:r>
              <w:rPr>
                <w:rStyle w:val="2"/>
                <w:rFonts w:eastAsia="" w:eastAsiaTheme="minorEastAsia"/>
                <w:spacing w:val="-5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поселение</w:t>
            </w:r>
          </w:p>
        </w:tc>
      </w:tr>
      <w:tr>
        <w:trPr>
          <w:trHeight w:val="701" w:hRule="exac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exact" w:line="276"/>
              <w:ind w:left="0" w:right="121" w:hanging="0"/>
              <w:jc w:val="left"/>
              <w:rPr/>
            </w:pP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Площадь объекта ± величина</w:t>
            </w:r>
            <w:r>
              <w:rPr>
                <w:rStyle w:val="2"/>
                <w:rFonts w:eastAsia="Times New Roman" w:cs="Times New Roman"/>
                <w:color w:val="auto"/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погрешности определения</w:t>
            </w:r>
            <w:r>
              <w:rPr>
                <w:rStyle w:val="2"/>
                <w:rFonts w:eastAsia="Times New Roman" w:cs="Times New Roman"/>
                <w:color w:val="auto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площади</w:t>
            </w:r>
            <w:r>
              <w:rPr>
                <w:rStyle w:val="2"/>
                <w:rFonts w:eastAsia="Times New Roman" w:cs="Times New Roman"/>
                <w:color w:val="auto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(Р</w:t>
            </w:r>
            <w:r>
              <w:rPr>
                <w:rStyle w:val="2"/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±</w:t>
            </w:r>
            <w:r>
              <w:rPr>
                <w:rStyle w:val="2"/>
                <w:rFonts w:eastAsia="Times New Roman" w:cs="Times New Roman"/>
                <w:color w:val="auto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Style w:val="2"/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Дельта Р)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sz w:val="24"/>
              </w:rPr>
            </w:pPr>
            <w:r>
              <w:rPr>
                <w:rStyle w:val="2"/>
                <w:rFonts w:eastAsia="" w:eastAsiaTheme="minorEastAsia"/>
                <w:sz w:val="20"/>
                <w:szCs w:val="22"/>
              </w:rPr>
              <w:t>102178</w:t>
            </w:r>
            <w:r>
              <w:rPr>
                <w:rStyle w:val="2"/>
                <w:rFonts w:eastAsia="" w:eastAsiaTheme="minorEastAsia"/>
                <w:spacing w:val="-1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кв.м</w:t>
            </w:r>
            <w:r>
              <w:rPr>
                <w:rStyle w:val="2"/>
                <w:rFonts w:eastAsia="" w:eastAsiaTheme="minorEastAsia"/>
                <w:spacing w:val="-1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±</w:t>
            </w:r>
            <w:r>
              <w:rPr>
                <w:rStyle w:val="2"/>
                <w:rFonts w:eastAsia="" w:eastAsiaTheme="minorEastAsia"/>
                <w:spacing w:val="-1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112</w:t>
            </w:r>
            <w:r>
              <w:rPr>
                <w:rStyle w:val="2"/>
                <w:rFonts w:eastAsia="" w:eastAsiaTheme="minorEastAsia"/>
                <w:spacing w:val="-1"/>
                <w:sz w:val="20"/>
                <w:szCs w:val="22"/>
              </w:rPr>
              <w:t xml:space="preserve"> </w:t>
            </w:r>
            <w:r>
              <w:rPr>
                <w:rStyle w:val="2"/>
                <w:rFonts w:eastAsia="" w:eastAsiaTheme="minorEastAsia"/>
                <w:sz w:val="20"/>
                <w:szCs w:val="22"/>
              </w:rPr>
              <w:t>кв.м</w:t>
            </w:r>
          </w:p>
        </w:tc>
      </w:tr>
      <w:tr>
        <w:trPr>
          <w:trHeight w:val="5550" w:hRule="exac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/>
            </w:pPr>
            <w:r>
              <w:rPr>
                <w:rStyle w:val="2"/>
                <w:rFonts w:eastAsia="" w:eastAsiaTheme="minorEastAsia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/>
            </w:pPr>
            <w:r>
              <w:rPr>
                <w:rStyle w:val="2"/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Иные характеристики объекта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uto" w:line="240"/>
              <w:ind w:left="107" w:right="136" w:hanging="0"/>
              <w:jc w:val="left"/>
              <w:rPr>
                <w:sz w:val="24"/>
              </w:rPr>
            </w:pPr>
            <w:r>
              <w:rPr>
                <w:sz w:val="24"/>
              </w:rPr>
              <w:t>Публичный сервитут для использования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целях складирования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иных материалов, размещения временных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сооружений и строительной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необходимы для обеспечения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нефтепровода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>
            <w:pPr>
              <w:pStyle w:val="TableParagraph"/>
              <w:widowControl w:val="false"/>
              <w:spacing w:lineRule="auto" w:line="240"/>
              <w:ind w:left="107" w:right="373" w:hanging="0"/>
              <w:jc w:val="left"/>
              <w:rPr>
                <w:sz w:val="24"/>
              </w:rPr>
            </w:pPr>
            <w:r>
              <w:rPr>
                <w:sz w:val="24"/>
              </w:rPr>
              <w:t>«МН «Тихорецк-Новороссийск-4» DN800/DN700.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 к МН «Тихорецк-Новороссийск-3»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ЛПДС «Крымская» - ПП «Грушовая». КРУМН.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Строительство».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Обладатель публичного сервитута: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Акционерное общество "Черноморские магистральные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нефтепроводы" (АО "Черномортранснефть"),</w:t>
            </w:r>
          </w:p>
        </w:tc>
      </w:tr>
      <w:tr>
        <w:trPr>
          <w:trHeight w:val="2490" w:hRule="exac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jc w:val="center"/>
              <w:rPr>
                <w:rStyle w:val="2"/>
                <w:rFonts w:eastAsia=""/>
                <w:kern w:val="0"/>
                <w:sz w:val="24"/>
                <w:szCs w:val="22"/>
              </w:rPr>
            </w:pPr>
            <w:r>
              <w:rPr>
                <w:rFonts w:eastAsia=""/>
                <w:kern w:val="0"/>
                <w:sz w:val="24"/>
                <w:szCs w:val="22"/>
              </w:rPr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rStyle w:val="2"/>
                <w:rFonts w:eastAsia=""/>
                <w:kern w:val="0"/>
                <w:sz w:val="24"/>
                <w:szCs w:val="22"/>
              </w:rPr>
            </w:pPr>
            <w:r>
              <w:rPr>
                <w:rFonts w:eastAsia=""/>
                <w:kern w:val="0"/>
                <w:sz w:val="24"/>
                <w:szCs w:val="22"/>
              </w:rPr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pacing w:lineRule="auto" w:line="240"/>
              <w:ind w:left="107" w:right="249" w:hanging="0"/>
              <w:jc w:val="left"/>
              <w:rPr>
                <w:sz w:val="24"/>
              </w:rPr>
            </w:pP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ОГРН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1022302384136,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-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ИНН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-2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2315072242.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-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Почтовый адрес:353902, Россия, Краснодарский край, г. Новороссийск,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шоссе Сухумское, дом 85, корпус 1. Адрес электронной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 xml:space="preserve">почты: </w:t>
            </w:r>
            <w:hyperlink r:id="rId2">
              <w:r>
                <w:rPr>
                  <w:rFonts w:eastAsia="" w:cs="Times New Roman"/>
                  <w:b w:val="false"/>
                  <w:bCs w:val="false"/>
                  <w:color w:val="000000"/>
                  <w:sz w:val="24"/>
                  <w:szCs w:val="22"/>
                  <w:lang w:val="ru-RU" w:bidi="ru-RU"/>
                </w:rPr>
                <w:t xml:space="preserve">chtn@nvr.transneft.ru. </w:t>
              </w:r>
            </w:hyperlink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Срок публичного сервитута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-57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2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pacing w:val="-1"/>
                <w:sz w:val="24"/>
                <w:szCs w:val="22"/>
                <w:lang w:val="ru-RU" w:bidi="ru-RU"/>
              </w:rPr>
              <w:t xml:space="preserve"> </w:t>
            </w:r>
            <w:r>
              <w:rPr>
                <w:rStyle w:val="2"/>
                <w:rFonts w:eastAsia="" w:cs="Times New Roman"/>
                <w:b w:val="false"/>
                <w:bCs w:val="false"/>
                <w:color w:val="000000"/>
                <w:sz w:val="24"/>
                <w:szCs w:val="22"/>
                <w:lang w:val="ru-RU" w:bidi="ru-RU"/>
              </w:rPr>
              <w:t>года 5 месяцев.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Раздел 2</w:t>
      </w:r>
    </w:p>
    <w:tbl>
      <w:tblPr>
        <w:tblW w:w="9615" w:type="dxa"/>
        <w:jc w:val="left"/>
        <w:tblInd w:w="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4"/>
        <w:gridCol w:w="18"/>
        <w:gridCol w:w="1573"/>
        <w:gridCol w:w="22"/>
        <w:gridCol w:w="1760"/>
        <w:gridCol w:w="32"/>
        <w:gridCol w:w="2040"/>
        <w:gridCol w:w="35"/>
        <w:gridCol w:w="1787"/>
        <w:gridCol w:w="34"/>
        <w:gridCol w:w="1489"/>
      </w:tblGrid>
      <w:tr>
        <w:trPr>
          <w:trHeight w:val="430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Сведения о местоположении границ объекта</w:t>
            </w:r>
          </w:p>
        </w:tc>
      </w:tr>
      <w:tr>
        <w:trPr>
          <w:trHeight w:val="387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1. Система координат МСК-23, зона 1</w:t>
            </w:r>
          </w:p>
        </w:tc>
      </w:tr>
      <w:tr>
        <w:trPr>
          <w:trHeight w:val="387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2. Сведения о характерных точках границ объекта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Обозначение</w:t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характерных</w:t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точек границ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Координаты, м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Метод  определения  координат характерной точки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Средняя квадратическаяпогрешность положения характерной точки (Мt), 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Описание обозначения точки на местности (при налич</w:t>
            </w:r>
          </w:p>
        </w:tc>
      </w:tr>
      <w:tr>
        <w:trPr>
          <w:trHeight w:val="187" w:hRule="atLeast"/>
        </w:trPr>
        <w:tc>
          <w:tcPr>
            <w:tcW w:w="8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Y</w:t>
            </w:r>
          </w:p>
        </w:tc>
        <w:tc>
          <w:tcPr>
            <w:tcW w:w="21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82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Обозначение характерных точек части границы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Координаты, м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Метод  определения  координат характерной точки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Средняя квадратическаяпогрешность положения характерной точки (Мt), 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Описание обозначения точки на местности (при наличии)</w:t>
            </w:r>
          </w:p>
        </w:tc>
      </w:tr>
      <w:tr>
        <w:trPr>
          <w:trHeight w:val="49" w:hRule="atLeast"/>
        </w:trPr>
        <w:tc>
          <w:tcPr>
            <w:tcW w:w="8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1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8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  <w:p>
            <w:pPr>
              <w:pStyle w:val="TableParagraph"/>
              <w:widowControl w:val="false"/>
              <w:rPr/>
            </w:pPr>
            <w:r>
              <w:rPr/>
              <w:t>Х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  <w:p>
            <w:pPr>
              <w:pStyle w:val="TableParagraph"/>
              <w:widowControl w:val="false"/>
              <w:rPr/>
            </w:pPr>
            <w:r>
              <w:rPr/>
              <w:t>Y</w:t>
            </w:r>
          </w:p>
        </w:tc>
        <w:tc>
          <w:tcPr>
            <w:tcW w:w="21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91" w:right="87" w:hanging="0"/>
              <w:rPr/>
            </w:pPr>
            <w:r>
              <w:rPr/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47" w:right="141" w:hanging="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70" w:right="2862" w:hanging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522237.95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1405524.53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522232.17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1405528.46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522188.50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1405558.14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522167.25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1405525.75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522125.99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1405462.85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522167.23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1405437.05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522177.15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1405430.85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522232.16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1405515.61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522237.95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1405524.53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70" w:right="2862" w:hanging="0"/>
              <w:rPr/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519360.89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1402246.12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519274.67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1402169.10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519182.21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1402086.52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519186.76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1402082.21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519221.57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1402112.61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519238.00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1402095.49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519297.85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1402144.62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16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519359.00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1402080.15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17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519444.55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1402155.58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18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519405.03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1402198.79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519468.58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1402259.11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519426.30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1402304.54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519360.89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1402246.12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870" w:right="2862" w:hanging="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519362.44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1402384.18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519310.62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1402363.74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6" w:right="240" w:hanging="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91" w:right="85" w:hanging="0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23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519216.02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1402309.41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24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519285.89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1402230.44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25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519441.16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1402363.84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26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519415.60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1402396.43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519362.44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1402384.18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Часть 4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27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518942.24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1401625.16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518861.09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1401694.08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29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518789.92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1401624.79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518880.36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1401549.61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27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518942.24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1401625.16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9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Часть 5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518664.36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1401286.37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32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518436.88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1401289.00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33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518410.67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1401267.59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34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518410.26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1401233.89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35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518410.53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1401182.86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36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518584.34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1401183.56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37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518646.26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1401184.50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518664.36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1401286.37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96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Часть 6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518106.16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1400640.34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39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518053.80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1400664.45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518004.37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1400563.20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518058.62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1400538.73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518106.16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1400640.34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6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Часть 7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42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517763.63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1400044.00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43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517763.64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1400047.13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44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517743.37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1400048.77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45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517743.32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1400044.45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46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517743.09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1400025.46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47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517763.54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1400025.01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42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517763.63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1400044.00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6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Часть 8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517851.16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1399921.46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49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517752.53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1399924.26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517744.38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1399933.00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51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517712.35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1399936.95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52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517738.22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1399910.28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53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517737.04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1399812.77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54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517849.90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1399811.52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48" w:right="241" w:hanging="0"/>
              <w:rPr>
                <w:sz w:val="24"/>
              </w:rPr>
            </w:pPr>
            <w:r>
              <w:rPr>
                <w:sz w:val="24"/>
              </w:rPr>
              <w:t>517851.16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89" w:right="182" w:hanging="0"/>
              <w:rPr>
                <w:sz w:val="24"/>
              </w:rPr>
            </w:pPr>
            <w:r>
              <w:rPr>
                <w:sz w:val="24"/>
              </w:rPr>
              <w:t>1399921.46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67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624" w:hanging="0"/>
              <w:jc w:val="right"/>
              <w:rPr>
                <w:sz w:val="24"/>
              </w:rPr>
            </w:pPr>
            <w:r>
              <w:rPr>
                <w:sz w:val="24"/>
              </w:rPr>
              <w:t>Mt=0.1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00" w:hanging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223" w:after="0"/>
        <w:ind w:left="47" w:right="396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Раздел 3</w:t>
      </w:r>
    </w:p>
    <w:tbl>
      <w:tblPr>
        <w:tblW w:w="9585" w:type="dxa"/>
        <w:jc w:val="left"/>
        <w:tblInd w:w="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4"/>
        <w:gridCol w:w="976"/>
        <w:gridCol w:w="959"/>
        <w:gridCol w:w="855"/>
        <w:gridCol w:w="900"/>
        <w:gridCol w:w="1477"/>
        <w:gridCol w:w="1757"/>
        <w:gridCol w:w="1475"/>
      </w:tblGrid>
      <w:tr>
        <w:trPr>
          <w:trHeight w:val="387" w:hRule="atLeast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7" w:hRule="atLeast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1. Система координат МСК-23, зона 1</w:t>
            </w:r>
          </w:p>
        </w:tc>
      </w:tr>
      <w:tr>
        <w:trPr>
          <w:trHeight w:val="385" w:hRule="atLeast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2. Сведения о характерных точках границ объекта</w:t>
            </w:r>
          </w:p>
        </w:tc>
      </w:tr>
      <w:tr>
        <w:trPr>
          <w:trHeight w:val="1391" w:hRule="atLeast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Обозна чение харак терных точек границ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Существующие координаты, м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Измененные (уточненные) координаты, м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Средняя квадратичес кая погрешность положения характерной точки (Мt), м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Описание обозначени я точки на местности (при наличии)</w:t>
            </w:r>
          </w:p>
        </w:tc>
      </w:tr>
      <w:tr>
        <w:trPr>
          <w:trHeight w:val="359" w:hRule="atLeast"/>
        </w:trPr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Y</w:t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–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9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1376" w:hRule="atLeast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Обозна чение харак терных точек границ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Существующие координаты, м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Измененные (уточненные) координаты, м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Метод определения координат характерной точки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Средняя квадратичес кая погрешность положения характерной точки (Мt), м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Описание обозначени я точки на местности(п ри наличии)</w:t>
            </w:r>
          </w:p>
        </w:tc>
      </w:tr>
      <w:tr>
        <w:trPr>
          <w:trHeight w:val="358" w:hRule="atLeast"/>
        </w:trPr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Y</w:t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–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jc w:val="both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Начальник управления земельных и</w:t>
      </w:r>
    </w:p>
    <w:p>
      <w:pPr>
        <w:pStyle w:val="Normal"/>
        <w:rPr>
          <w:rFonts w:ascii="Times New Roman" w:hAnsi="Times New Roman" w:eastAsia="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имущественных отношений</w:t>
      </w:r>
    </w:p>
    <w:p>
      <w:pPr>
        <w:pStyle w:val="Normal"/>
        <w:rPr>
          <w:sz w:val="26"/>
          <w:szCs w:val="26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адм</w:t>
      </w:r>
      <w:r>
        <w:rPr>
          <w:rFonts w:cs="Times New Roman" w:ascii="Times New Roman" w:hAnsi="Times New Roman"/>
          <w:color w:val="000000"/>
          <w:sz w:val="26"/>
          <w:szCs w:val="26"/>
        </w:rPr>
        <w:t>инистрации муниципального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образования </w:t>
      </w:r>
      <w:r>
        <w:rPr>
          <w:rFonts w:eastAsia="" w:cs="Times New Roman" w:ascii="Times New Roman" w:hAnsi="Times New Roman"/>
          <w:color w:val="000000"/>
          <w:sz w:val="26"/>
          <w:szCs w:val="26"/>
          <w:lang w:eastAsia="ru-RU"/>
        </w:rPr>
        <w:t>Кореновский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район                                                              М.Г. Наумова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567" w:top="1134" w:footer="0" w:bottom="1134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3029779"/>
    </w:sdtPr>
    <w:sdtContent>
      <w:p>
        <w:pPr>
          <w:pStyle w:val="Style23"/>
          <w:jc w:val="center"/>
          <w:rPr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4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16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f97165"/>
    <w:rPr>
      <w:rFonts w:eastAsia="" w:eastAsiaTheme="minorEastAsia"/>
      <w:sz w:val="2"/>
      <w:lang w:eastAsia="ru-RU"/>
    </w:rPr>
  </w:style>
  <w:style w:type="character" w:styleId="FontStyle177" w:customStyle="1">
    <w:name w:val="Font Style177"/>
    <w:uiPriority w:val="99"/>
    <w:qFormat/>
    <w:rsid w:val="00f97165"/>
    <w:rPr>
      <w:rFonts w:ascii="Times New Roman" w:hAnsi="Times New Roman" w:cs="Times New Roman"/>
      <w:sz w:val="26"/>
      <w:szCs w:val="26"/>
    </w:rPr>
  </w:style>
  <w:style w:type="character" w:styleId="2" w:customStyle="1">
    <w:name w:val="Основной текст (2)"/>
    <w:basedOn w:val="DefaultParagraphFont"/>
    <w:qFormat/>
    <w:rsid w:val="00f971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f9716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1" w:customStyle="1">
    <w:name w:val="Style4"/>
    <w:basedOn w:val="Normal"/>
    <w:uiPriority w:val="99"/>
    <w:qFormat/>
    <w:rsid w:val="00f97165"/>
    <w:pPr>
      <w:widowControl w:val="false"/>
      <w:spacing w:lineRule="exact" w:line="324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TableParagraph">
    <w:name w:val="Table Paragraph"/>
    <w:basedOn w:val="Normal"/>
    <w:qFormat/>
    <w:pPr>
      <w:spacing w:lineRule="exact" w:line="256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tn@nvr.transneft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LibreOffice/7.2.2.2$Windows_X86_64 LibreOffice_project/02b2acce88a210515b4a5bb2e46cbfb63fe97d56</Application>
  <AppVersion>15.0000</AppVersion>
  <Pages>4</Pages>
  <Words>841</Words>
  <Characters>5524</Characters>
  <CharactersWithSpaces>5930</CharactersWithSpaces>
  <Paragraphs>505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2022-08-15T07:19:00Z</dcterms:created>
  <dc:creator>user315</dc:creator>
  <dc:description/>
  <dc:language>ru-RU</dc:language>
  <cp:lastModifiedBy/>
  <cp:lastPrinted>2023-07-13T11:54:44Z</cp:lastPrinted>
  <dcterms:modified xsi:type="dcterms:W3CDTF">2023-07-13T11:56:07Z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